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梅州市塔牌集团蕉岭鑫达旋窑水泥有限公司5万</w:t>
            </w:r>
            <w:r>
              <w:rPr>
                <w:rFonts w:hint="eastAsia" w:ascii="宋体" w:hAnsi="宋体" w:eastAsia="宋体"/>
                <w:sz w:val="21"/>
                <w:szCs w:val="21"/>
                <w:lang w:val="en-US" w:eastAsia="zh-CN"/>
              </w:rPr>
              <w:t>吨/年资源综合利用</w:t>
            </w:r>
            <w:r>
              <w:rPr>
                <w:rFonts w:hint="eastAsia" w:ascii="宋体" w:hAnsi="宋体" w:eastAsia="宋体"/>
                <w:sz w:val="21"/>
                <w:szCs w:val="21"/>
              </w:rPr>
              <w:t>电厂飞灰和4万</w:t>
            </w:r>
            <w:r>
              <w:rPr>
                <w:rFonts w:hint="eastAsia" w:ascii="宋体" w:hAnsi="宋体" w:eastAsia="宋体"/>
                <w:sz w:val="21"/>
                <w:szCs w:val="21"/>
                <w:lang w:val="en-US" w:eastAsia="zh-CN"/>
              </w:rPr>
              <w:t>吨/年</w:t>
            </w:r>
            <w:r>
              <w:rPr>
                <w:rFonts w:hint="eastAsia" w:ascii="宋体" w:hAnsi="宋体" w:eastAsia="宋体"/>
                <w:sz w:val="21"/>
                <w:szCs w:val="21"/>
              </w:rPr>
              <w:t>铝灰渣水泥窑资源化利用项目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82</Words>
  <Characters>468</Characters>
  <Lines>3</Lines>
  <Paragraphs>1</Paragraphs>
  <TotalTime>0</TotalTime>
  <ScaleCrop>false</ScaleCrop>
  <LinksUpToDate>false</LinksUpToDate>
  <CharactersWithSpaces>549</CharactersWithSpaces>
  <Application>WPS Office_11.1.0.10667_F1E327BC-269C-435d-A152-05C5408002CA</Application>
  <DocSecurity>0</DocSecurity>
</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C65B7E3FF0884220A14A77D832C2CA43</vt:lpwstr>
  </property>
</Properties>
</file>